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1E4617" w:rsidRPr="001E4617" w:rsidTr="001D33F2">
        <w:trPr>
          <w:trHeight w:val="1026"/>
        </w:trPr>
        <w:tc>
          <w:tcPr>
            <w:tcW w:w="9854" w:type="dxa"/>
            <w:shd w:val="clear" w:color="auto" w:fill="auto"/>
          </w:tcPr>
          <w:p w:rsidR="001E4617" w:rsidRPr="001E4617" w:rsidRDefault="001E4617" w:rsidP="001E4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eastAsia="uk-UA"/>
              </w:rPr>
            </w:pPr>
          </w:p>
          <w:tbl>
            <w:tblPr>
              <w:tblW w:w="10094" w:type="dxa"/>
              <w:tblLayout w:type="fixed"/>
              <w:tblLook w:val="0000" w:firstRow="0" w:lastRow="0" w:firstColumn="0" w:lastColumn="0" w:noHBand="0" w:noVBand="0"/>
            </w:tblPr>
            <w:tblGrid>
              <w:gridCol w:w="3284"/>
              <w:gridCol w:w="3525"/>
              <w:gridCol w:w="3285"/>
            </w:tblGrid>
            <w:tr w:rsidR="001E4617" w:rsidRPr="001E4617" w:rsidTr="001D33F2">
              <w:trPr>
                <w:trHeight w:val="1026"/>
              </w:trPr>
              <w:tc>
                <w:tcPr>
                  <w:tcW w:w="10094" w:type="dxa"/>
                  <w:gridSpan w:val="3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38BB625D" wp14:editId="07B96AD2">
                        <wp:extent cx="419100" cy="600075"/>
                        <wp:effectExtent l="0" t="0" r="0" b="0"/>
                        <wp:docPr id="2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6000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ЧЕРВОНОГРАДСЬКА МIСЬКА РАДА</w:t>
                  </w:r>
                </w:p>
                <w:p w:rsidR="001E4617" w:rsidRPr="001E4617" w:rsidRDefault="001E4617" w:rsidP="001E461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ЧЕРВОНОГРАДСЬКОГО РАЙОНУ</w:t>
                  </w:r>
                </w:p>
                <w:p w:rsidR="001E4617" w:rsidRPr="001E4617" w:rsidRDefault="001E4617" w:rsidP="001E461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1E46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Львiвської</w:t>
                  </w:r>
                  <w:proofErr w:type="spellEnd"/>
                  <w:r w:rsidRPr="001E46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E46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областi</w:t>
                  </w:r>
                  <w:proofErr w:type="spellEnd"/>
                </w:p>
                <w:p w:rsidR="001E4617" w:rsidRPr="001E4617" w:rsidRDefault="001E4617" w:rsidP="001E461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тридцять перша сесія восьмого скликання</w:t>
                  </w:r>
                </w:p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 xml:space="preserve">Р I Ш Е Н </w:t>
                  </w:r>
                  <w:proofErr w:type="spellStart"/>
                  <w:r w:rsidRPr="001E461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>Н</w:t>
                  </w:r>
                  <w:proofErr w:type="spellEnd"/>
                  <w:r w:rsidRPr="001E461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 xml:space="preserve"> Я</w:t>
                  </w:r>
                </w:p>
              </w:tc>
            </w:tr>
            <w:tr w:rsidR="001E4617" w:rsidRPr="001E4617" w:rsidTr="001D33F2">
              <w:tc>
                <w:tcPr>
                  <w:tcW w:w="3284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:rsidR="001E4617" w:rsidRPr="001E4617" w:rsidRDefault="001E4617" w:rsidP="001E4617">
                  <w:pPr>
                    <w:keepNext/>
                    <w:spacing w:after="0" w:line="240" w:lineRule="auto"/>
                    <w:ind w:left="432" w:hanging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uk-UA"/>
                    </w:rPr>
                    <w:t xml:space="preserve"> </w:t>
                  </w:r>
                </w:p>
              </w:tc>
            </w:tr>
            <w:tr w:rsidR="001E4617" w:rsidRPr="001E4617" w:rsidTr="001D33F2">
              <w:tc>
                <w:tcPr>
                  <w:tcW w:w="3284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__________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1E46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     №______</w:t>
                  </w:r>
                </w:p>
              </w:tc>
            </w:tr>
            <w:tr w:rsidR="001E4617" w:rsidRPr="001E4617" w:rsidTr="001D33F2">
              <w:tc>
                <w:tcPr>
                  <w:tcW w:w="3284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1E4617" w:rsidRPr="001E4617" w:rsidRDefault="001E4617" w:rsidP="001E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1E4617" w:rsidRPr="001E4617" w:rsidRDefault="001E4617" w:rsidP="001E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</w:p>
        </w:tc>
      </w:tr>
    </w:tbl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 проведення консультацій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з громадськістю щодо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перейменування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міста Червонограда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4617" w:rsidRPr="001E4617" w:rsidRDefault="001E4617" w:rsidP="001E4617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Керуючись статтею 144 Конституції України, статтею 26 Закону України «Про місцеве самоврядування в Україні», Законом України «Про засудження та заборону пропаганди російської імперської політики в Україні і деколонізацію топонімії», враховуючи Перелік населених пунктів, назви яких містять російську імперську символіку, підготований Українським інститутом національної пам’яті, з метою врахування думки жителів Червоноградської міської  територіальної громади щодо перейменування міста Червонограда, Червоноградська міська рада</w:t>
      </w:r>
    </w:p>
    <w:p w:rsidR="001E4617" w:rsidRPr="001E4617" w:rsidRDefault="001E4617" w:rsidP="001E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ВИРІШИЛА: </w:t>
      </w:r>
    </w:p>
    <w:p w:rsidR="001E4617" w:rsidRPr="001E4617" w:rsidRDefault="001E4617" w:rsidP="001E46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heading=h.gjdgxs" w:colFirst="0" w:colLast="0"/>
      <w:bookmarkEnd w:id="0"/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Провести консультації з громадськістю щодо перейменування міста Червонограда (далі Консультації).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порядок проведення Консультацій, що додається.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Утворити спеціальну робочу групу для проведення  Консультацій та затвердити її персональний склад, що додається.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Процедуру проведення Консультацій розпочати з 02 жовтня 2023 року та встановити тривалість 30 (тридцять) календарних днів.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Спеціальній робочій групі забезпечити підведення підсумків Консультацій не довше, ніж за 10 (десять) робочих днів після завершення їх проведення та оприлюднити результати.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Керівникам виконавчих органів Червоноградської міської ради сприяти проведенню Консультацій, збору результатів та вчасного їх подання для належного підведення підсумків.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Відділу цифрової трансформації, інформаційної політики та прозорості (</w:t>
      </w:r>
      <w:proofErr w:type="spellStart"/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Глаговськ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proofErr w:type="spellEnd"/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Н.С.):</w:t>
      </w:r>
    </w:p>
    <w:p w:rsidR="001E4617" w:rsidRPr="001E4617" w:rsidRDefault="001E4617" w:rsidP="001E46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 провести інформаційну компанію з питання перейменування міста Червоноград;</w:t>
      </w:r>
    </w:p>
    <w:p w:rsidR="001E4617" w:rsidRPr="001E4617" w:rsidRDefault="001E4617" w:rsidP="001E46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забезпечити інформаційне висвітлення процесу та підсумків Консультацій.</w:t>
      </w:r>
    </w:p>
    <w:p w:rsidR="001E4617" w:rsidRPr="001E4617" w:rsidRDefault="001E4617" w:rsidP="001E4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Контроль за виконанням рішення покласти на</w:t>
      </w:r>
      <w:r w:rsidRPr="001E4617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постійну депутатську комісію з питань охорони здоров’я, праці та соціальної політики, освіти, культури, духовного відродження, сім’ї, молоді та спорту  (</w:t>
      </w:r>
      <w:proofErr w:type="spellStart"/>
      <w:r w:rsidRPr="001E4617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Кудрик</w:t>
      </w:r>
      <w:proofErr w:type="spellEnd"/>
      <w:r w:rsidRPr="001E4617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І.І.), </w:t>
      </w: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постійну депутатську комісію з питань містобудування, регулювання земельних відносин та адміністративно-територіального устрою</w:t>
      </w:r>
      <w:r w:rsidRPr="001E4617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(Пилипчук П.) та  </w:t>
      </w: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 (</w:t>
      </w:r>
      <w:proofErr w:type="spellStart"/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Майданович</w:t>
      </w:r>
      <w:proofErr w:type="spellEnd"/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С.В.)</w:t>
      </w:r>
      <w:r w:rsidRPr="001E46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1E4617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</w:p>
    <w:p w:rsidR="001E4617" w:rsidRPr="001E4617" w:rsidRDefault="001E4617" w:rsidP="001E46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W w:w="985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83"/>
        <w:gridCol w:w="3283"/>
        <w:gridCol w:w="3284"/>
      </w:tblGrid>
      <w:tr w:rsidR="001E4617" w:rsidRPr="001E4617" w:rsidTr="001D33F2">
        <w:trPr>
          <w:trHeight w:val="552"/>
        </w:trPr>
        <w:tc>
          <w:tcPr>
            <w:tcW w:w="3283" w:type="dxa"/>
          </w:tcPr>
          <w:p w:rsidR="001E4617" w:rsidRPr="001E4617" w:rsidRDefault="001E4617" w:rsidP="001E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E461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Міський голова </w:t>
            </w:r>
          </w:p>
        </w:tc>
        <w:tc>
          <w:tcPr>
            <w:tcW w:w="3283" w:type="dxa"/>
          </w:tcPr>
          <w:p w:rsidR="001E4617" w:rsidRPr="001E4617" w:rsidRDefault="001E4617" w:rsidP="001E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84" w:type="dxa"/>
          </w:tcPr>
          <w:p w:rsidR="001E4617" w:rsidRPr="001E4617" w:rsidRDefault="001E4617" w:rsidP="001E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1E461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Андрій ЗАЛІВСЬКИЙ </w:t>
            </w:r>
          </w:p>
        </w:tc>
      </w:tr>
    </w:tbl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                                                                    ЗАТВЕРДЖЕНО</w:t>
      </w: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Рішення Червоноградської міської ради</w:t>
      </w: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від____________________ №_________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9472A" w:rsidRDefault="00C9472A" w:rsidP="00C94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ПЕРСОНАЛЬНИЙ </w:t>
      </w:r>
      <w:r w:rsidRPr="00B964E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СКЛАД СПЕЦІАЛЬНОЇ РОБОЧОЇ ГРУПИ</w:t>
      </w:r>
    </w:p>
    <w:p w:rsidR="00C9472A" w:rsidRDefault="00C9472A" w:rsidP="00C94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ТИРКО ТАРАС </w:t>
            </w:r>
          </w:p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ВІКТОРОВИЧ</w:t>
            </w: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заступник міського голови з питань діяльності виконавчих органів ради, голова спеціальної  робочої  групи</w:t>
            </w: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ГЛАГОВСЬКА НАТАЛІЯ </w:t>
            </w:r>
          </w:p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СТЕПАНІВНА</w:t>
            </w: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відділу цифрової трансформації, інформаційної політики та прозорості, секретар спеціальної робочої групи</w:t>
            </w: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СТАДНИК ЮЛІЯ </w:t>
            </w:r>
          </w:p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АНДРІЇВНА</w:t>
            </w: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спеціаліст І категорії організаційного відділу, член спеціальної робочої групи</w:t>
            </w: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 спеціальної робочої групи</w:t>
            </w: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 спеціальної робочої групи</w:t>
            </w: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 спеціальної робочої групи</w:t>
            </w:r>
          </w:p>
        </w:tc>
      </w:tr>
      <w:tr w:rsidR="00C9472A" w:rsidTr="00A62470">
        <w:tc>
          <w:tcPr>
            <w:tcW w:w="4955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56" w:type="dxa"/>
          </w:tcPr>
          <w:p w:rsidR="00C9472A" w:rsidRDefault="00C9472A" w:rsidP="00A62470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 спеціальної робочої групи</w:t>
            </w:r>
          </w:p>
        </w:tc>
      </w:tr>
    </w:tbl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ЗАТВЕРДЖЕНО</w:t>
      </w: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Рішення Червоноградської міської ради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від____________________ №_________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C9472A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ПОРЯДОК ПРОВЕДЕННЯ КОНСУЛЬТАЦІЙ</w:t>
      </w:r>
    </w:p>
    <w:p w:rsidR="001E4617" w:rsidRPr="004412A8" w:rsidRDefault="001E4617" w:rsidP="0044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Цей Порядок визначає процедуру проведення Консультацій з громадськістю щодо перейменування міста Червоноград (далі Консультації) та строки її реалізації.</w:t>
      </w:r>
    </w:p>
    <w:p w:rsidR="001E4617" w:rsidRPr="004412A8" w:rsidRDefault="001E4617" w:rsidP="004412A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Консультації проводяться з метою залучення членів Червоноградської міської територіальної громади до участі у процедурі перейменування міста Червонограда.</w:t>
      </w:r>
    </w:p>
    <w:p w:rsidR="001E4617" w:rsidRPr="004412A8" w:rsidRDefault="001E4617" w:rsidP="0044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Проведення Консультацій має сприяти створенню умов для участі членів територіальної громади у процесі деколонізації топонімії в назві міста з врахуванням громадської думки. </w:t>
      </w:r>
    </w:p>
    <w:p w:rsidR="001E4617" w:rsidRPr="004412A8" w:rsidRDefault="001E4617" w:rsidP="0044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Проведення Консультацій проводиться у формі публічного громадського обговорення та електронних консультацій з громадськістю.</w:t>
      </w:r>
    </w:p>
    <w:p w:rsidR="001E4617" w:rsidRPr="004412A8" w:rsidRDefault="001E4617" w:rsidP="0044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Організацію проведення Консультацій покладається на спеціальну робочу групу для проведення Консультацій, персональний склад якої затверджується рішенням Червоноградської міської ради. </w:t>
      </w:r>
    </w:p>
    <w:p w:rsidR="001E4617" w:rsidRPr="004412A8" w:rsidRDefault="001E4617" w:rsidP="004412A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Консультації можуть тривати до 30 днів. У цей період також відбувається офіційне представлення питання, що є предметом Консультацій.</w:t>
      </w:r>
    </w:p>
    <w:p w:rsidR="001E4617" w:rsidRPr="004412A8" w:rsidRDefault="001E4617" w:rsidP="004412A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У період Консультацій можна подавати зауваження та пропозиції.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Пропозиції та зауваження учасників публічного громадського обговорення подаються в усній та письмовій формі під час публічних заходів та у письмовій формі на поштову і електронну адреси, зазначені в інформаційному повідомленні про проведення публічного громадського обговорення.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 час проведення заходів у рамках публічного громадського обговорення ведеться протокол, у якому фіксуються висловлені в усній формі пропозиції і зауваження.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Пропозиції та зауваження учасників електронних консультацій з громадськістю щодо перейменування міста Червоноград подаються в письмовій формі на електронну адресу, зазначену в інформаційному повідомленні про проведення електронних консультацій з громадськістю. 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Інститути громадянського суспільства, наукові та експертні організації, інші юридичні особи під час подання пропозицій і зауважень у письмовій формі зазначають своє найменування та місцезнаходження.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Анонімні пропозиції не реєструються і не розглядаються.</w:t>
      </w:r>
    </w:p>
    <w:p w:rsidR="001E4617" w:rsidRPr="004412A8" w:rsidRDefault="001E4617" w:rsidP="00C9472A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Консультації розпочинаються з дня оприлюднення інформаційного повідомлення про їх проведення.</w:t>
      </w:r>
    </w:p>
    <w:p w:rsidR="001E4617" w:rsidRPr="004412A8" w:rsidRDefault="001E4617" w:rsidP="00C9472A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про початок проведення Консультації розміщується на офіційному сайті Червоноградської міської ради, соціальних мережах та друкованих засобах масової </w:t>
      </w: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інформації у формі інформаційного повідомлення про її проведення, що оприлюднюється за 10 календарних днів до початку процедури Консультації та в якому зазначається:</w:t>
      </w:r>
    </w:p>
    <w:p w:rsidR="001E4617" w:rsidRPr="004412A8" w:rsidRDefault="004412A8" w:rsidP="00C9472A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1E4617"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інформаційному повідомленні про проведення </w:t>
      </w:r>
      <w:r w:rsidR="001E4617" w:rsidRPr="004412A8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публічного громадського обговорення</w:t>
      </w:r>
      <w:r w:rsidR="001E4617"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зазначаються: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найменування органу виконавчої влади, який проводить обговорення;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питання, що винесено на обговорення;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варіанти вирішення питання;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адреса (гіпертекстове посилання) опублікованого на офіційному веб-сайті органу виконавчої влади тексту проекту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акта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щодо проведення консультацій з громадськістю;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 групи населення та заінтересовані сторони, на які поширюватиметься дія прийнятого за результатами проведених Консультацій рішення, можливі наслідки проведення в життя цього рішення для різних соціальних груп населення та заінтересованих сторін;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відомості про місце і час проведення публічних заходів, порядок обговорення, акредитації представників засобів масової інформації, реєстрації учасників;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порядок участі в обговоренні представників визначених соціальних груп населення та заінтересованих сторін;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поштова та електронна адреси, строк і форма подання письмових пропозицій та зауважень;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адреса і номер телефону, за якими надаються консультації з питання, що винесено на публічне громадське обговорення;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прізвище, ім'я відповідальної особи органу виконавчої влади;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строк і спосіб оприлюднення результатів обговорення.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560"/>
          <w:tab w:val="left" w:pos="1701"/>
          <w:tab w:val="left" w:pos="184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 інформаційному повідомленні про </w:t>
      </w:r>
      <w:r w:rsidRPr="004412A8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проведення електронних консультацій</w:t>
      </w: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зазначаються: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найменування органу виконавчої влади, який проводить електронні консультації з громадськістю;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стислий зміст пропозиції, винесеної на обговорення;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можливі наслідки проведення в життя рішення для різних соціальних груп населення та заінтересованих сторін;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електронна адреса, строк і форма подання пропозицій;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номер телефону, за яким надаються консультації з питання, що винесено на обговорення;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прізвище, ім'я відповідальної особи органу виконавчої влади;</w:t>
      </w:r>
    </w:p>
    <w:p w:rsidR="001E4617" w:rsidRPr="004412A8" w:rsidRDefault="001E4617" w:rsidP="004412A8">
      <w:pPr>
        <w:numPr>
          <w:ilvl w:val="2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строк і спосіб оприлюднення результатів обговорення.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Інформація, пов'язана з організацією та проведенням консультацій з громадськістю, оприлюднюється у спеціально створеній рубриці «Консультації з громадськістю» офіційного веб-сайту Червоноградської міської ради.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Проведення електронних консультацій з громадськістю: 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Заходи з технічної організації електронного опитування забезпечує відділ інформаційної політики Червоноградської міської ради;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Електронні консультації передбачають 2 етапи:</w:t>
      </w:r>
    </w:p>
    <w:p w:rsidR="001E4617" w:rsidRPr="004412A8" w:rsidRDefault="001E4617" w:rsidP="00C9472A">
      <w:p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11.2.1 Електронні консультації щодо варіантів нової назви для перейменування м. Червонограда;</w:t>
      </w:r>
    </w:p>
    <w:p w:rsidR="001E4617" w:rsidRPr="004412A8" w:rsidRDefault="001E4617" w:rsidP="00C9472A">
      <w:p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11.2.2 Електронне опитування щодо вибору нової назви для перейменування м. Червонограда;</w:t>
      </w:r>
    </w:p>
    <w:p w:rsidR="001E4617" w:rsidRPr="004412A8" w:rsidRDefault="001E4617" w:rsidP="00C9472A">
      <w:p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проведення електронних консультацій щодо варіантів нової назви для перейменування м. Червонограда у рубриці «Електронні консультації з громадськістю» офіційного веб-сайту Червоноградської міської ради, в розділі «Консультації» створюється консультація під назвою «Щодо варіантів перейменування міста Червоноград» на базі платформи «Єдина платформа місцевої електронної демократії»;</w:t>
      </w:r>
    </w:p>
    <w:p w:rsidR="001E4617" w:rsidRPr="004412A8" w:rsidRDefault="001E4617" w:rsidP="00C9472A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Для створення онлайн-кабінету на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вебпорталі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«Єдина платформа місцевої електронної демократії» здійснюється реєстрація користувача із використанням електронної автентифікації користувача у сервісі електронної автентифікації інтегрованої системи електронної ідентифікації ID.GOV.UA за допомогою кваліфікованого електронного підпису (на файловому, хмарному чи інших захищених носіях), сервісу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Дія.Підпис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BankID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НБУ тощо та заповнення на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вебпорталі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додаткових необхідних полів.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До участі в електронних консультаціях допускаються члени Червоноградської міської територіальної громади, які на момент опитування досягли вісімнадцяти років та місце проживання яких зареєстровано / задекларовано на території Червоноградської міської територіальної громади;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Електронний сервіс «Єдина платформа місцевої електронної демократії» є загальнодоступним та передбачає процедуру ідентифікації.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Термін проведення електронних консультацій щодо варіантів нової назви для перейменування м. Червонограда встановлюється на протязі 10 календарних днів з моменту публікації відповідної консультації.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результатами публічного громадського обговорення та електронних консультацій щодо варіантів нової назви для перейменування м. Червоноград, спеціальна робоча група відбирає варіанти назви для перейменування та проводить Електронне опитування.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Електронне опитування щодо вибору нової назви для перейменування м. Червонограда проводиться на платформі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Google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Forms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відповідне посилання на яке, публікується на офіційному порталі Червоноградської міської ради, поширюється у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соцмережах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цифрових ЗМІ.</w:t>
      </w:r>
    </w:p>
    <w:p w:rsidR="001E4617" w:rsidRPr="004412A8" w:rsidRDefault="001E4617" w:rsidP="00C947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Запитання для Електронного опитування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формулюється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наступним чином: «Відповідно до Закону України «Про засудження та заборону пропаганди російської імперської політики в Україні і деколонізацію топонімії», орган місцевого самоврядування повинен подати пропозицію нової назви для м. Червоноград. Який із перелічених варіантів Ви б обрали для нової назви м. Червонограда?»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Процес електронного опитування відображається в електронному сервісі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Google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Forms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 режимі реального часу;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Зафіксовані результати електронного опитування та електронних консультацій, здійснених за допомогою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вебпорталу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, відділ інформаційної політики Червоноградської міської ради  передає для подальшого опрацювання спеціальній робочій групі не пізніше наступного дня  після завершення консультацій/опитування.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громадських слухань.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результатами консультацій з громадськістю готується звіт, що має містити: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найменування органу виконавчої влади, який проводив Консультації;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зміст питання або назва проекту </w:t>
      </w:r>
      <w:proofErr w:type="spellStart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акта</w:t>
      </w:r>
      <w:proofErr w:type="spellEnd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, що виносилися на обговорення;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інформація про осіб, що взяли участь в обговоренні;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пропозиції; 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інформація про врахування пропозицій та зауважень громадськості з обов'язковим обґрунтуванням прийнятого рішення та причин неврахування пропозицій та зауважень;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інформація про рішення, прийняті за результатами обговорення.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Інформацію, отриману за результатами проведення Консультацій, пропонується та подається на розгляд Червоноградської міської ради за правилами, встановленими Законом України «Про місцеве самоврядування в Україні» в  порядку визначеному Регламентом Червоноградської  міської ради із врахуванням звіту спеціальної робочої групи.  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Звіт в обов'язковому порядку доводиться до відома громадськості шляхом оприлюднення на офіційному веб-сайті Червоноградської міської ради, та в інший прийнятний спосіб не пізніше ніж через два тижні після прийняття рішень за результатами обговорення.</w:t>
      </w:r>
    </w:p>
    <w:p w:rsidR="001E4617" w:rsidRPr="004412A8" w:rsidRDefault="001E4617" w:rsidP="00C9472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Порядок роботи спеціальної  робочої групи: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Спеціальна робоча група є виконавчим органом з організації проведення заходів з реалізації процедури проведення консультацій з громадськістю щодо перейменування міста Червоноград;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До складу спеціальної робочої групи, персональний склад якої, затверджується рішенням Червоноградської міської ради входять: заступник міського  голови з питань діяльності виконавчих органів ради, представники виконавчих органів місцевої ради, представники виконавчого комітету міської ради, представники депутатського корпусу Червоноградської міської ради та Червоноградської районної ради, представники  громадськості.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Основною формою спеціальної  роботи робочої групи є її засідання, що скликаються позапланово у разі потреби, але не рідше ніж один раз на тиждень;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Спеціальна робоча група: 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highlight w:val="white"/>
          <w:lang w:eastAsia="uk-UA"/>
        </w:rPr>
        <w:t>організаційно забезпечує та координує проведення публічного громадського обговорення;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розробляє план заходів з організації та проведення обговорення та визначає місце і час проведення публічних заходів, порядок обговорення, акредитації </w:t>
      </w: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представників засобів масової інформації, реєстрації учасників, порядок участі в обговоренні представників визначених соціальних груп населення та заінтересованих сторін;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забезпечує врахування результатів обговорення під час прийняття остаточного рішення;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проводить аналіз результатів обговорення;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організовує оприлюднення результатів обговорення на офіційному веб-сайті Червоноградської міської ради або за відсутності відповідної технічної можливості в інший прийнятний спосіб;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ініціює засідання громадської ради при виконавчому комітеті Червоноградської міської ради; 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готує звіт за результатами консультацій з громадськістю з врахуванням електронного опитування;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готує проект рішення Червоноградської міської ради за результатами проведення Консультацій.</w:t>
      </w:r>
    </w:p>
    <w:p w:rsidR="001E4617" w:rsidRPr="004412A8" w:rsidRDefault="001E4617" w:rsidP="00C9472A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Ініціює та проводить громадські слухання.</w:t>
      </w:r>
    </w:p>
    <w:p w:rsidR="001E4617" w:rsidRPr="004412A8" w:rsidRDefault="001E4617" w:rsidP="00C9472A">
      <w:pPr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70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Права та обов’язки голови, секретаря та членів спеціальної робочої групи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Голова Робочої групи здійснює загальне керівництво роботою спеціальної робочої групи.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У разі відсутності голови спеціальної робочої групи його обов’язки виконує заступник голови Робочої групи.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Голова спеціальної робочої групи має право надсилати запити щодо надання матеріалів, необхідних для підготовки засідань спеціальної робочої групи, та інформації щодо виконання прийнятих спеціальною робочою групою рішень.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Голова Робочої групи: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1" w:name="_GoBack"/>
      <w:bookmarkEnd w:id="1"/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1) бере участь у формуванні порядку денного засідання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2) керує роботою секретаря спеціальної робочої групи щодо підготовки та проведення засідань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3) надає методичну допомогу особам, відповідальним за опрацювання питань, винесених на засідання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4) здійснює контроль за станом реалізації рішень спеціальної  робочої групи.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  <w:tab w:val="left" w:pos="708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Секретар спеціальної робочої групи має право надавати голові спеціальної робочої групи та його заступнику пропозиції щодо організації проведення засідання спеціальної робочої групи.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Секретар спеціальної робочої групи: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1) формує порядок денний засідання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2) здійснює інформаційне забезпечення голови спеціальної робочої групи та її членів з питань діяльності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3) організовує підготовку і проведення засідань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4) веде та подає на підпис голові спеціальної робочої групи протоколи засідань та іншу документацію, що стосується роботи спеціальної робочої групи.</w:t>
      </w:r>
    </w:p>
    <w:p w:rsidR="001E4617" w:rsidRPr="004412A8" w:rsidRDefault="001E4617" w:rsidP="00C947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Члени спеціальної робочої групи: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1) беруть участь у засіданнях спеціальної робочої групи. У разі неможливості бути присутнім на засіданні член спеціальної робочої групи повинен завчасно повідомити про це секретаря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2) беруть участь в опрацюванні матеріалів, поданих на розгляд засідання спеціальної робочої групи;</w:t>
      </w:r>
    </w:p>
    <w:p w:rsidR="001E4617" w:rsidRPr="004412A8" w:rsidRDefault="001E4617" w:rsidP="00C94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3) виконують доручення голови спеціальної робочої групи та його заступника щодо підготовки окремих питань, які виносяться на розгляд засідання спеціальної робочої групи.</w:t>
      </w:r>
    </w:p>
    <w:p w:rsidR="001E4617" w:rsidRPr="004412A8" w:rsidRDefault="001E4617" w:rsidP="004412A8">
      <w:pPr>
        <w:numPr>
          <w:ilvl w:val="1"/>
          <w:numId w:val="1"/>
        </w:numPr>
        <w:shd w:val="clear" w:color="auto" w:fill="FFFFFF"/>
        <w:tabs>
          <w:tab w:val="left" w:pos="1134"/>
          <w:tab w:val="left" w:pos="170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Організація роботи спеціальної робочої групи:</w:t>
      </w:r>
    </w:p>
    <w:p w:rsidR="001E4617" w:rsidRPr="004412A8" w:rsidRDefault="001E4617" w:rsidP="004412A8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члени спеціальної робочої групи мають право надавати голові, його заступнику та секретарю спеціальної робочої групи пропозиції щодо порядку денного засідання та організації його проведення;</w:t>
      </w:r>
    </w:p>
    <w:p w:rsidR="001E4617" w:rsidRPr="004412A8" w:rsidRDefault="001E4617" w:rsidP="004412A8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проведення засідань спеціальної робочої групи у строк не пізніше ніж за один день до запланованої дати засідання секретар спеціальної робочої групи готує перелік питань до порядку денного та подає його на затвердження голові Робочої групи;</w:t>
      </w:r>
    </w:p>
    <w:p w:rsidR="001E4617" w:rsidRPr="004412A8" w:rsidRDefault="001E4617" w:rsidP="004412A8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у разі затвердження головою спеціальної робочої групи порядку денного секретар спеціальної робочої групи повідомляє кожного члена спеціальної робочої групи про дату, місце та час проведення засідання спеціальної робочої групи, а також перелік питань, винесених на засідання. На засідання спеціальної робочої групи можуть запрошуватися й інші особи, які не є членами спеціальної робочої групи, для обговорення відповідного питання порядку денного;</w:t>
      </w:r>
    </w:p>
    <w:p w:rsidR="001E4617" w:rsidRPr="004412A8" w:rsidRDefault="001E4617" w:rsidP="004412A8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підготовку матеріалів та організаційне забезпечення проведення засідання спеціальної робочої групи здійснює секретар спеціальної робочої групи;</w:t>
      </w:r>
    </w:p>
    <w:p w:rsidR="001E4617" w:rsidRPr="004412A8" w:rsidRDefault="001E4617" w:rsidP="004412A8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рішення спеціальної робочої групи приймається відкритим голосуванням простою більшістю голосів членів спеціальної робочої групи, присутніх на засіданні, яких має бути не менше половини складу спеціальної робочої групи. У разі рівного розподілу голосів голос головуючого є вирішальним;</w:t>
      </w:r>
    </w:p>
    <w:p w:rsidR="001E4617" w:rsidRPr="004412A8" w:rsidRDefault="001E4617" w:rsidP="004412A8">
      <w:pPr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412A8">
        <w:rPr>
          <w:rFonts w:ascii="Times New Roman" w:eastAsia="Times New Roman" w:hAnsi="Times New Roman" w:cs="Times New Roman"/>
          <w:sz w:val="26"/>
          <w:szCs w:val="26"/>
          <w:lang w:eastAsia="uk-UA"/>
        </w:rPr>
        <w:t>результати засідання спеціальної робочої групи оформлюються відповідним протоколом, який містить рекомендації та пропозиції щодо кожного розглянутого на засіданні питання. Протоколи засідань оформлюються в одному примірнику, підписуються секретарем та головою спеціальної робочої групи.</w:t>
      </w:r>
    </w:p>
    <w:p w:rsidR="001E4617" w:rsidRPr="004412A8" w:rsidRDefault="001E4617" w:rsidP="004412A8">
      <w:pPr>
        <w:shd w:val="clear" w:color="auto" w:fill="FFFFFF"/>
        <w:tabs>
          <w:tab w:val="left" w:pos="993"/>
          <w:tab w:val="left" w:pos="1134"/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hd w:val="clear" w:color="auto" w:fill="FFFFFF"/>
        <w:tabs>
          <w:tab w:val="left" w:pos="993"/>
          <w:tab w:val="left" w:pos="1134"/>
          <w:tab w:val="left" w:pos="1276"/>
        </w:tabs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uk-UA"/>
        </w:rPr>
      </w:pPr>
    </w:p>
    <w:p w:rsidR="001E4617" w:rsidRPr="001E4617" w:rsidRDefault="001E4617" w:rsidP="001E4617">
      <w:pPr>
        <w:shd w:val="clear" w:color="auto" w:fill="FFFFFF"/>
        <w:tabs>
          <w:tab w:val="left" w:pos="993"/>
          <w:tab w:val="left" w:pos="1134"/>
          <w:tab w:val="left" w:pos="1276"/>
        </w:tabs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1B1D1F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Голова постійної депутатської комісії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питань депутатської діяльності,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забезпечення законності, антикорупційної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політики, захисту прав людини, сприяння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децентралізації, розвитку місцевого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самоврядування та громадського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суспільства, свободи слова та інформації</w:t>
      </w: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    </w:t>
      </w: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                  </w:t>
      </w:r>
      <w:r w:rsidR="00C9472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Софія МАЙДАНОВИЧ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E4617">
        <w:rPr>
          <w:rFonts w:ascii="Times New Roman" w:eastAsia="Times New Roman" w:hAnsi="Times New Roman" w:cs="Times New Roman"/>
          <w:sz w:val="25"/>
          <w:szCs w:val="25"/>
          <w:lang w:eastAsia="uk-UA"/>
        </w:rPr>
        <w:t>Голова постійної депутатської комісії</w:t>
      </w: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E4617">
        <w:rPr>
          <w:rFonts w:ascii="Times New Roman" w:eastAsia="Times New Roman" w:hAnsi="Times New Roman" w:cs="Times New Roman"/>
          <w:sz w:val="25"/>
          <w:szCs w:val="25"/>
          <w:lang w:eastAsia="uk-UA"/>
        </w:rPr>
        <w:t>з питань охорони здоров’я, праці та</w:t>
      </w: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E461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соціальної політики, освіти, культури, </w:t>
      </w:r>
    </w:p>
    <w:p w:rsidR="001E4617" w:rsidRPr="001E4617" w:rsidRDefault="001E4617" w:rsidP="001E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E461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духовного відродження, сім’ї, молоді </w:t>
      </w:r>
    </w:p>
    <w:p w:rsidR="001E4617" w:rsidRPr="001E4617" w:rsidRDefault="001E4617" w:rsidP="00C9472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E461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та спорту                                                                                              </w:t>
      </w:r>
      <w:r w:rsidR="00C9472A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</w:t>
      </w:r>
      <w:r w:rsidRPr="001E461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Іван КУДРИК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Голова постійної депутатської комісії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питань містобудування, регулювання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земельних відносин та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адміністративно-територіального устрою</w:t>
      </w: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                  </w:t>
      </w:r>
      <w:r w:rsidR="00C9472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Петро ПИЛИПЧУК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Заступник міського голови  з  питань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діяльності виконавчих органів ради                                              Тарас ТИРКО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Заступник начальника 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юридичного відділу                                                                         Тетяна ЛІНИНСЬКА</w:t>
      </w: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E4617" w:rsidRPr="001E4617" w:rsidRDefault="001E4617" w:rsidP="001E46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E4617">
        <w:rPr>
          <w:rFonts w:ascii="Times New Roman" w:eastAsia="Times New Roman" w:hAnsi="Times New Roman" w:cs="Times New Roman"/>
          <w:sz w:val="26"/>
          <w:szCs w:val="26"/>
          <w:lang w:eastAsia="uk-UA"/>
        </w:rPr>
        <w:t>Начальник відділу інформаційної політики                                  Наталія ГЛАГОВСЬКА</w:t>
      </w:r>
    </w:p>
    <w:p w:rsidR="00382F9E" w:rsidRDefault="00382F9E"/>
    <w:sectPr w:rsidR="00382F9E">
      <w:pgSz w:w="11906" w:h="16838"/>
      <w:pgMar w:top="568" w:right="567" w:bottom="113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458"/>
    <w:multiLevelType w:val="multilevel"/>
    <w:tmpl w:val="A2C86CF6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51D942E7"/>
    <w:multiLevelType w:val="multilevel"/>
    <w:tmpl w:val="B94C3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21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8"/>
    <w:rsid w:val="001E4617"/>
    <w:rsid w:val="00382F9E"/>
    <w:rsid w:val="003E38D6"/>
    <w:rsid w:val="004213B8"/>
    <w:rsid w:val="004412A8"/>
    <w:rsid w:val="00C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9AB0-A7EC-45C5-AB49-49B96002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12325</Words>
  <Characters>7026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2023-09-01T13:00:00Z</cp:lastPrinted>
  <dcterms:created xsi:type="dcterms:W3CDTF">2023-09-01T12:31:00Z</dcterms:created>
  <dcterms:modified xsi:type="dcterms:W3CDTF">2023-09-01T13:00:00Z</dcterms:modified>
</cp:coreProperties>
</file>