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6A" w:rsidRPr="00CB66C6" w:rsidRDefault="001C4DA4" w:rsidP="007C6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7C6A75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7756A" w:rsidRPr="00CB66C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A7756A" w:rsidRPr="00CB66C6" w:rsidRDefault="00A7756A" w:rsidP="00A7756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CB66C6">
        <w:rPr>
          <w:rFonts w:ascii="Times New Roman" w:hAnsi="Times New Roman" w:cs="Times New Roman"/>
          <w:sz w:val="24"/>
          <w:szCs w:val="24"/>
        </w:rPr>
        <w:t>Рішення</w:t>
      </w:r>
    </w:p>
    <w:p w:rsidR="00A7756A" w:rsidRPr="00CB66C6" w:rsidRDefault="00A7756A" w:rsidP="00A7756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CB66C6">
        <w:rPr>
          <w:rFonts w:ascii="Times New Roman" w:hAnsi="Times New Roman" w:cs="Times New Roman"/>
          <w:sz w:val="24"/>
          <w:szCs w:val="24"/>
        </w:rPr>
        <w:t xml:space="preserve">Червоноградської міської ради </w:t>
      </w:r>
    </w:p>
    <w:p w:rsidR="00A7756A" w:rsidRDefault="00A7756A" w:rsidP="00A7756A">
      <w:pPr>
        <w:rPr>
          <w:rFonts w:ascii="Times New Roman" w:hAnsi="Times New Roman" w:cs="Times New Roman"/>
          <w:sz w:val="24"/>
          <w:szCs w:val="24"/>
        </w:rPr>
      </w:pPr>
      <w:r w:rsidRPr="00CB6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_________________№____</w:t>
      </w:r>
    </w:p>
    <w:p w:rsidR="001C4DA4" w:rsidRDefault="001C4DA4" w:rsidP="00A7756A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0FCF" w:rsidRPr="00400FCF" w:rsidRDefault="00400FCF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FCF">
        <w:rPr>
          <w:rFonts w:ascii="Times New Roman" w:hAnsi="Times New Roman" w:cs="Times New Roman"/>
          <w:b/>
          <w:sz w:val="26"/>
          <w:szCs w:val="26"/>
        </w:rPr>
        <w:t>ПОЛОЖЕННЯ</w:t>
      </w:r>
    </w:p>
    <w:p w:rsidR="00400FCF" w:rsidRDefault="00400FCF" w:rsidP="00CB66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b/>
          <w:sz w:val="26"/>
          <w:szCs w:val="26"/>
        </w:rPr>
        <w:t>про координаційно-робочу груп</w:t>
      </w:r>
      <w:r w:rsidR="00050BEF">
        <w:rPr>
          <w:rFonts w:ascii="Times New Roman" w:hAnsi="Times New Roman" w:cs="Times New Roman"/>
          <w:b/>
          <w:sz w:val="26"/>
          <w:szCs w:val="26"/>
        </w:rPr>
        <w:t>у</w:t>
      </w:r>
      <w:r w:rsidRPr="00400FCF">
        <w:rPr>
          <w:rFonts w:ascii="Times New Roman" w:hAnsi="Times New Roman" w:cs="Times New Roman"/>
          <w:b/>
          <w:sz w:val="26"/>
          <w:szCs w:val="26"/>
        </w:rPr>
        <w:t xml:space="preserve"> з питань </w:t>
      </w:r>
      <w:r w:rsidR="001C4DA4">
        <w:rPr>
          <w:rFonts w:ascii="Times New Roman" w:hAnsi="Times New Roman" w:cs="Times New Roman"/>
          <w:b/>
          <w:sz w:val="26"/>
          <w:szCs w:val="26"/>
        </w:rPr>
        <w:t>розроблення муніципального енергетичного плану</w:t>
      </w:r>
      <w:r w:rsidRPr="00400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53D5">
        <w:rPr>
          <w:rFonts w:ascii="Times New Roman" w:hAnsi="Times New Roman" w:cs="Times New Roman"/>
          <w:b/>
          <w:sz w:val="26"/>
          <w:szCs w:val="26"/>
        </w:rPr>
        <w:t xml:space="preserve">Червоноградської </w:t>
      </w:r>
      <w:r w:rsidR="001C4DA4">
        <w:rPr>
          <w:rFonts w:ascii="Times New Roman" w:hAnsi="Times New Roman" w:cs="Times New Roman"/>
          <w:b/>
          <w:sz w:val="26"/>
          <w:szCs w:val="26"/>
        </w:rPr>
        <w:t>міської</w:t>
      </w:r>
      <w:r w:rsidRPr="00400FCF">
        <w:rPr>
          <w:rFonts w:ascii="Times New Roman" w:hAnsi="Times New Roman" w:cs="Times New Roman"/>
          <w:b/>
          <w:sz w:val="26"/>
          <w:szCs w:val="26"/>
        </w:rPr>
        <w:t xml:space="preserve"> територіальної громади</w:t>
      </w:r>
      <w:r w:rsidRPr="00400F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DA4" w:rsidRDefault="001C4DA4" w:rsidP="00CB6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DA4" w:rsidRDefault="001C4DA4" w:rsidP="001C4DA4">
      <w:pPr>
        <w:rPr>
          <w:rFonts w:ascii="Times New Roman" w:hAnsi="Times New Roman" w:cs="Times New Roman"/>
          <w:b/>
          <w:sz w:val="26"/>
          <w:szCs w:val="26"/>
        </w:rPr>
      </w:pPr>
    </w:p>
    <w:p w:rsidR="002F4970" w:rsidRDefault="002F4970" w:rsidP="001C4DA4">
      <w:pPr>
        <w:rPr>
          <w:rFonts w:ascii="Times New Roman" w:hAnsi="Times New Roman" w:cs="Times New Roman"/>
          <w:b/>
          <w:sz w:val="26"/>
          <w:szCs w:val="26"/>
        </w:rPr>
      </w:pPr>
    </w:p>
    <w:p w:rsidR="00CB66C6" w:rsidRDefault="00CB66C6" w:rsidP="001C4DA4">
      <w:pPr>
        <w:rPr>
          <w:rFonts w:ascii="Times New Roman" w:hAnsi="Times New Roman" w:cs="Times New Roman"/>
          <w:b/>
          <w:sz w:val="26"/>
          <w:szCs w:val="26"/>
        </w:rPr>
      </w:pPr>
    </w:p>
    <w:p w:rsidR="00CB66C6" w:rsidRDefault="00CB66C6" w:rsidP="001C4DA4">
      <w:pPr>
        <w:rPr>
          <w:rFonts w:ascii="Times New Roman" w:hAnsi="Times New Roman" w:cs="Times New Roman"/>
          <w:b/>
          <w:sz w:val="26"/>
          <w:szCs w:val="26"/>
        </w:rPr>
      </w:pPr>
    </w:p>
    <w:p w:rsidR="00400FCF" w:rsidRPr="0020068E" w:rsidRDefault="00400FCF" w:rsidP="00400F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6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І. Загальні положення </w:t>
      </w:r>
    </w:p>
    <w:p w:rsidR="009F45C7" w:rsidRDefault="00400FCF" w:rsidP="00CB66C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1. Координаційно-робоча група з питань </w:t>
      </w:r>
      <w:r w:rsidR="00CB4B93">
        <w:rPr>
          <w:rFonts w:ascii="Times New Roman" w:hAnsi="Times New Roman" w:cs="Times New Roman"/>
          <w:sz w:val="26"/>
          <w:szCs w:val="26"/>
        </w:rPr>
        <w:t>розроблення 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</w:t>
      </w:r>
      <w:r w:rsidR="00CB4B93">
        <w:rPr>
          <w:rFonts w:ascii="Times New Roman" w:hAnsi="Times New Roman" w:cs="Times New Roman"/>
          <w:sz w:val="26"/>
          <w:szCs w:val="26"/>
        </w:rPr>
        <w:t>плану</w:t>
      </w:r>
      <w:r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="00A553D5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 (далі координаційно-робоча група) забезпечує планування та координацію розроблення </w:t>
      </w:r>
      <w:r w:rsidR="00A553D5" w:rsidRPr="00400FCF">
        <w:rPr>
          <w:rFonts w:ascii="Times New Roman" w:hAnsi="Times New Roman" w:cs="Times New Roman"/>
          <w:sz w:val="26"/>
          <w:szCs w:val="26"/>
        </w:rPr>
        <w:t>проекту</w:t>
      </w:r>
      <w:r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="00A553D5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та місцевої програми, організовує та забезпечує збір у повному обсязі необхідних вихідних даних, у разі потреби ініціює залучення до процесу розроблення незалежних експертних організацій (експертів) та зацікавлених сторін, організовує та забезпечує процес громадського обговорення та доопрацювання </w:t>
      </w:r>
      <w:r w:rsidR="002E5FDC" w:rsidRPr="00400FCF">
        <w:rPr>
          <w:rFonts w:ascii="Times New Roman" w:hAnsi="Times New Roman" w:cs="Times New Roman"/>
          <w:sz w:val="26"/>
          <w:szCs w:val="26"/>
        </w:rPr>
        <w:t>проекту</w:t>
      </w:r>
      <w:r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="002E5FDC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плану, координує процес виконання затвердженого </w:t>
      </w:r>
      <w:r w:rsidR="002E5FDC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плану, виконує інші завдання визначені рішенням </w:t>
      </w:r>
      <w:r w:rsidR="002E5FDC">
        <w:rPr>
          <w:rFonts w:ascii="Times New Roman" w:hAnsi="Times New Roman" w:cs="Times New Roman"/>
          <w:sz w:val="26"/>
          <w:szCs w:val="26"/>
        </w:rPr>
        <w:t>Червоноградської міської територіальної громади</w:t>
      </w:r>
      <w:r w:rsidRPr="00400F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45C7" w:rsidRPr="0020068E" w:rsidRDefault="00400FCF" w:rsidP="00D124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68E">
        <w:rPr>
          <w:rFonts w:ascii="Times New Roman" w:hAnsi="Times New Roman" w:cs="Times New Roman"/>
          <w:b/>
          <w:sz w:val="26"/>
          <w:szCs w:val="26"/>
        </w:rPr>
        <w:t>ІІ. Організація діяльності та порядок проведення засідань та прийняття рішень координаційно-робочою групою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1. Організація діяльності координаційно-робочої групи визначається цим Положенням.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2. Організаційною формою роботи координаційно-робочої групи є засідання, які проводяться за рішенням голови координаційно-робочої групи.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3. Дату, час, місце проведення та порядок денний засідання визначає голова координаційно- робочої групи (а у разі його відсутності – заступник голови координаційно-робочої групи).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4. Засідання </w:t>
      </w:r>
      <w:proofErr w:type="spellStart"/>
      <w:r w:rsidRPr="00400FCF">
        <w:rPr>
          <w:rFonts w:ascii="Times New Roman" w:hAnsi="Times New Roman" w:cs="Times New Roman"/>
          <w:sz w:val="26"/>
          <w:szCs w:val="26"/>
        </w:rPr>
        <w:t>скликає</w:t>
      </w:r>
      <w:proofErr w:type="spellEnd"/>
      <w:r w:rsidRPr="00400FCF">
        <w:rPr>
          <w:rFonts w:ascii="Times New Roman" w:hAnsi="Times New Roman" w:cs="Times New Roman"/>
          <w:sz w:val="26"/>
          <w:szCs w:val="26"/>
        </w:rPr>
        <w:t xml:space="preserve"> і проводить голова координаційно-робочої групи, а у разі його відсутності – заступник голови координаційно-робочої групи.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5. Додаткові питання для розгляду на засіданні координаційно-робочої групи за поданням членів координаційно-робочої групи можуть бути включені до порядку денного за рішенням її голови.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6. Секретар координаційно-робочої групи забезпечує зберігання матеріалів засідань координаційно-робочої групи.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7. Засідання вважається правомочним, якщо на ньому присутні більшість від половини складу координаційно-робочої групи.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>8. Порядок денний засідання визначається головою координаційно-робочої групи за пропозиціями членів координаційно-робочої групи, узагальненими секретарем координаційно-робочої групи.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 9. Порядок денний засідання та рішення координаційно-робочої групи затверджується членами робочої групи шляхом голосування.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10. Члени координаційно-робочої групи беруть участь у засіданнях робочої групи особисто. </w:t>
      </w:r>
    </w:p>
    <w:p w:rsidR="00CB66C6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11. Члени координаційно-робочої групи у ході розгляду окремих питань, беруть участь в їх обговоренні, вносять відповідні пропозиції, дають необхідні пояснення.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12. Рішення координаційно-робочої групи приймається з кожного питання порядку денного засідання відкритим голосуванням.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13. Рішення координаційно-робочої групи є прийнятим, якщо за нього проголосувала більшість членів координаційно-робочої групи, присутніх на засіданні. При рівності голосів „за” та „проти” вирішальний голос належить головуючому на засіданні координаційно- робочої групи.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lastRenderedPageBreak/>
        <w:t xml:space="preserve">14. Рішення координаційно-робочої групи оформлюється протоколом, який підписує голова, секретар та усі присутні члени координаційно-робочої групи, впродовж тижня після дати проведення засідання координаційно-робочої групи.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15. Ведення протоколу покладається на секретаря координаційно-робочої групи. У випадку відсутності на засіданні секретаря, головуючий на засіданні робочої групи, за допомогою відкритого голосування членів координаційно-робочої групи визначає відповідального за ведення протоколу. </w:t>
      </w:r>
    </w:p>
    <w:p w:rsidR="0020068E" w:rsidRDefault="00400FCF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>16. Протокол координаційно-робочої групи доводиться секретарем координаційно-робочої групи до відома та виконання членам координаційно-робочої групи.</w:t>
      </w:r>
    </w:p>
    <w:p w:rsidR="0020068E" w:rsidRPr="0020068E" w:rsidRDefault="00400FCF" w:rsidP="00D124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68E">
        <w:rPr>
          <w:rFonts w:ascii="Times New Roman" w:hAnsi="Times New Roman" w:cs="Times New Roman"/>
          <w:b/>
          <w:sz w:val="26"/>
          <w:szCs w:val="26"/>
        </w:rPr>
        <w:t>ІІІ. Права, обов’язки та відповідальність координаційно-робочої групи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1. Члени координаційно-робочої групи мають право отримувати інформацію, необхідну для розроблення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в організаціях, установах громади, незалежно від їх відомчого підпорядкування, форми власності та господарювання; проводити роз’яснювальну роботу серед жителів громади з питань розроблення і втілення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та значення його необхідності; вносити пропозиції на засіданнях координаційно-робочої групи щодо розгляду питань, які необхідно вирішити з метою покращення енергетичної безпеки 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Червоноградській міській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територіальній громаді в межах розроблення і втілення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2. Члени координаційно-робочої групи виконують доручення голови координаційно-групи в межах завдань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3. Члени координаційно-робочої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матеріалів, що стосується виконання завдань щодо </w:t>
      </w:r>
      <w:r w:rsidR="000E2142">
        <w:rPr>
          <w:rFonts w:ascii="Times New Roman" w:hAnsi="Times New Roman" w:cs="Times New Roman"/>
          <w:sz w:val="26"/>
          <w:szCs w:val="26"/>
        </w:rPr>
        <w:t xml:space="preserve">муніципального </w:t>
      </w:r>
      <w:r w:rsidRPr="00400FCF">
        <w:rPr>
          <w:rFonts w:ascii="Times New Roman" w:hAnsi="Times New Roman" w:cs="Times New Roman"/>
          <w:sz w:val="26"/>
          <w:szCs w:val="26"/>
        </w:rPr>
        <w:t xml:space="preserve">енергетичного плану.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4. З метою накопичення необхідної для розроблення </w:t>
      </w:r>
      <w:r w:rsidR="000E2142" w:rsidRPr="00400FCF">
        <w:rPr>
          <w:rFonts w:ascii="Times New Roman" w:hAnsi="Times New Roman" w:cs="Times New Roman"/>
          <w:sz w:val="26"/>
          <w:szCs w:val="26"/>
        </w:rPr>
        <w:t>проекту</w:t>
      </w:r>
      <w:r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члени координаційно-робочої групи здійснюють збір вихідних даних інформації у достатньому обсязі та належної якості.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5. Члени координаційно-робочої групи проводять аналіз вихідного стану енергетичного розвитку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 шляхом: - побудови річного енергетичного балансу (у формі діаграми </w:t>
      </w:r>
      <w:proofErr w:type="spellStart"/>
      <w:r w:rsidRPr="00400FCF">
        <w:rPr>
          <w:rFonts w:ascii="Times New Roman" w:hAnsi="Times New Roman" w:cs="Times New Roman"/>
          <w:sz w:val="26"/>
          <w:szCs w:val="26"/>
        </w:rPr>
        <w:t>Сенкі</w:t>
      </w:r>
      <w:proofErr w:type="spellEnd"/>
      <w:r w:rsidRPr="00400FCF">
        <w:rPr>
          <w:rFonts w:ascii="Times New Roman" w:hAnsi="Times New Roman" w:cs="Times New Roman"/>
          <w:sz w:val="26"/>
          <w:szCs w:val="26"/>
        </w:rPr>
        <w:t xml:space="preserve">) для одного статистично значимого року; - побудови енергетичних, вартісних та інвестиційних балансів (у формі плоскої діаграми) для минулих періодів за категоріями кінцевих споживачів, видами енергії та визначення відповідних трендів на період </w:t>
      </w:r>
      <w:r w:rsidR="000E2142">
        <w:rPr>
          <w:rFonts w:ascii="Times New Roman" w:hAnsi="Times New Roman" w:cs="Times New Roman"/>
          <w:sz w:val="26"/>
          <w:szCs w:val="26"/>
        </w:rPr>
        <w:t xml:space="preserve">муніципального </w:t>
      </w:r>
      <w:r w:rsidRPr="00400FCF">
        <w:rPr>
          <w:rFonts w:ascii="Times New Roman" w:hAnsi="Times New Roman" w:cs="Times New Roman"/>
          <w:sz w:val="26"/>
          <w:szCs w:val="26"/>
        </w:rPr>
        <w:t xml:space="preserve">енергетичного плану; - </w:t>
      </w:r>
      <w:proofErr w:type="spellStart"/>
      <w:r w:rsidRPr="00400FCF">
        <w:rPr>
          <w:rFonts w:ascii="Times New Roman" w:hAnsi="Times New Roman" w:cs="Times New Roman"/>
          <w:sz w:val="26"/>
          <w:szCs w:val="26"/>
        </w:rPr>
        <w:t>бенчмаркінгу</w:t>
      </w:r>
      <w:proofErr w:type="spellEnd"/>
      <w:r w:rsidRPr="00400FCF">
        <w:rPr>
          <w:rFonts w:ascii="Times New Roman" w:hAnsi="Times New Roman" w:cs="Times New Roman"/>
          <w:sz w:val="26"/>
          <w:szCs w:val="26"/>
        </w:rPr>
        <w:t xml:space="preserve"> об’єктів (систем) на території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 для одного статистично значимого року; - аналізу обмежень для сталого енергетичного розвитку </w:t>
      </w:r>
      <w:proofErr w:type="spellStart"/>
      <w:r w:rsidR="000E2142">
        <w:rPr>
          <w:rFonts w:ascii="Times New Roman" w:hAnsi="Times New Roman" w:cs="Times New Roman"/>
          <w:sz w:val="26"/>
          <w:szCs w:val="26"/>
        </w:rPr>
        <w:t>Червонорадської</w:t>
      </w:r>
      <w:proofErr w:type="spellEnd"/>
      <w:r w:rsidR="000E2142">
        <w:rPr>
          <w:rFonts w:ascii="Times New Roman" w:hAnsi="Times New Roman" w:cs="Times New Roman"/>
          <w:sz w:val="26"/>
          <w:szCs w:val="26"/>
        </w:rPr>
        <w:t xml:space="preserve">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громади; - SWOT-аналізу (оцінки сильних сторін, слабких сторін, можливостей і загроз) енергетичного розвитку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громади; - аналізу впливу органу місцевого самоврядування на сектори; - аналізу завершених, поточних і запланованих місцевих програм, інвестиційних програм комунальних підприємств та інших програм і </w:t>
      </w:r>
      <w:r w:rsidR="000E2142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 (у тому числі за участі міжнародних фінансових організацій), направлених на підвищення енергетичної ефективності та розвиток відновлюваних джерел енергії на території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Pr="00400FCF">
        <w:rPr>
          <w:rFonts w:ascii="Times New Roman" w:hAnsi="Times New Roman" w:cs="Times New Roman"/>
          <w:sz w:val="26"/>
          <w:szCs w:val="26"/>
        </w:rPr>
        <w:t xml:space="preserve"> територіальної громади.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lastRenderedPageBreak/>
        <w:t xml:space="preserve">6. За результатами виконаного аналізу вихідного стану енергетичного розвитку здійснюється ранжування та визначення пріоритетних секторів енергетичного планування для досягнення цілей сталого енергетичного розвитку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="000E2142"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Pr="00400FCF">
        <w:rPr>
          <w:rFonts w:ascii="Times New Roman" w:hAnsi="Times New Roman" w:cs="Times New Roman"/>
          <w:sz w:val="26"/>
          <w:szCs w:val="26"/>
        </w:rPr>
        <w:t xml:space="preserve">територіальної громади. За рішенням координаційно-робочої групи, можуть застосовуватися додаткові критерії для </w:t>
      </w:r>
      <w:proofErr w:type="spellStart"/>
      <w:r w:rsidRPr="00400FCF">
        <w:rPr>
          <w:rFonts w:ascii="Times New Roman" w:hAnsi="Times New Roman" w:cs="Times New Roman"/>
          <w:sz w:val="26"/>
          <w:szCs w:val="26"/>
        </w:rPr>
        <w:t>пріоритезації</w:t>
      </w:r>
      <w:proofErr w:type="spellEnd"/>
      <w:r w:rsidRPr="00400FCF">
        <w:rPr>
          <w:rFonts w:ascii="Times New Roman" w:hAnsi="Times New Roman" w:cs="Times New Roman"/>
          <w:sz w:val="26"/>
          <w:szCs w:val="26"/>
        </w:rPr>
        <w:t xml:space="preserve"> секторів, у тому числі соціальна значущість, екологічна безпека тощо. Здійснюється формування висновків. Етап цілепокладання здійснюється з метою визначення базової лінії споживання енергії та цілей сталого енергетичного розвитку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="000E2142"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Pr="00400FCF">
        <w:rPr>
          <w:rFonts w:ascii="Times New Roman" w:hAnsi="Times New Roman" w:cs="Times New Roman"/>
          <w:sz w:val="26"/>
          <w:szCs w:val="26"/>
        </w:rPr>
        <w:t xml:space="preserve">територіальної громади. Базова лінія споживання енергії (далі - базова лінія) відображає прогноз споживання енергії до кінця періоду енергетичного планування та є основою для визначення цілей сталого енергетичного розвитку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="000E2142"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Pr="00400FCF">
        <w:rPr>
          <w:rFonts w:ascii="Times New Roman" w:hAnsi="Times New Roman" w:cs="Times New Roman"/>
          <w:sz w:val="26"/>
          <w:szCs w:val="26"/>
        </w:rPr>
        <w:t xml:space="preserve">територіальної громади та моніторингу їх досягнення, включаючи оцінку ефективності реалізації заходів, визначених у місцевому енергетичному плані.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7. Під час розроблення </w:t>
      </w:r>
      <w:r w:rsidR="000E2142" w:rsidRPr="00400FCF">
        <w:rPr>
          <w:rFonts w:ascii="Times New Roman" w:hAnsi="Times New Roman" w:cs="Times New Roman"/>
          <w:sz w:val="26"/>
          <w:szCs w:val="26"/>
        </w:rPr>
        <w:t>проекту</w:t>
      </w:r>
      <w:r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здійснюється формування каталогу </w:t>
      </w:r>
      <w:r w:rsidR="000E2142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 сталого енергетичного розвитку на період дії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плану, реалізація яких забезпечує досягнення цілей сталого енергетичного розвитку </w:t>
      </w:r>
      <w:r w:rsidR="000E2142">
        <w:rPr>
          <w:rFonts w:ascii="Times New Roman" w:hAnsi="Times New Roman" w:cs="Times New Roman"/>
          <w:sz w:val="26"/>
          <w:szCs w:val="26"/>
        </w:rPr>
        <w:t>Червоноградської міської</w:t>
      </w:r>
      <w:r w:rsidR="000E2142" w:rsidRPr="00400FCF">
        <w:rPr>
          <w:rFonts w:ascii="Times New Roman" w:hAnsi="Times New Roman" w:cs="Times New Roman"/>
          <w:sz w:val="26"/>
          <w:szCs w:val="26"/>
        </w:rPr>
        <w:t xml:space="preserve"> </w:t>
      </w:r>
      <w:r w:rsidRPr="00400FCF">
        <w:rPr>
          <w:rFonts w:ascii="Times New Roman" w:hAnsi="Times New Roman" w:cs="Times New Roman"/>
          <w:sz w:val="26"/>
          <w:szCs w:val="26"/>
        </w:rPr>
        <w:t xml:space="preserve">територіальної громади.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8. Визначаються можливі шляхи та джерела фінансування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плану, визначаються потенційні партнери (у тому числі міжнародні фінансові організації), розробляються організаційні блок-схеми із зазначенням основних учасників, які забезпечують реалізацію </w:t>
      </w:r>
      <w:r w:rsidR="000E2142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 сталого енергетичного розвитку та подальшу ефективну експлуатацію відповідних об’єктів (систем). Потреби у фінансових ресурсах для виконання </w:t>
      </w:r>
      <w:r w:rsidR="000E2142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та реалізації </w:t>
      </w:r>
      <w:proofErr w:type="spellStart"/>
      <w:r w:rsidRPr="00400FCF">
        <w:rPr>
          <w:rFonts w:ascii="Times New Roman" w:hAnsi="Times New Roman" w:cs="Times New Roman"/>
          <w:sz w:val="26"/>
          <w:szCs w:val="26"/>
        </w:rPr>
        <w:t>проєктів</w:t>
      </w:r>
      <w:proofErr w:type="spellEnd"/>
      <w:r w:rsidRPr="00400FCF">
        <w:rPr>
          <w:rFonts w:ascii="Times New Roman" w:hAnsi="Times New Roman" w:cs="Times New Roman"/>
          <w:sz w:val="26"/>
          <w:szCs w:val="26"/>
        </w:rPr>
        <w:t xml:space="preserve"> сталого енергетичного розвитку виражаються у млн грн (рекомендується додатково - у тис. євро із зазначенням дати та офіційного курсу Національного банку України). </w:t>
      </w:r>
    </w:p>
    <w:p w:rsidR="0020068E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9. Складається орієнтовний календарний план реалізації </w:t>
      </w:r>
      <w:r w:rsidR="0072054A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 сталого енергетичного розвитку на період </w:t>
      </w:r>
      <w:r w:rsidR="0072054A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плану. Календарний план визначає черговість і терміни реалізації </w:t>
      </w:r>
      <w:r w:rsidR="0072054A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 за секторами та містить інформацію про річні обсяги реалізації </w:t>
      </w:r>
      <w:r w:rsidR="0072054A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0FCF" w:rsidRDefault="00400FCF" w:rsidP="00CB66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FCF">
        <w:rPr>
          <w:rFonts w:ascii="Times New Roman" w:hAnsi="Times New Roman" w:cs="Times New Roman"/>
          <w:sz w:val="26"/>
          <w:szCs w:val="26"/>
        </w:rPr>
        <w:t xml:space="preserve">10. Визначаються кількісні та якісні показники очікуваних результатів від виконання </w:t>
      </w:r>
      <w:r w:rsidR="0072054A">
        <w:rPr>
          <w:rFonts w:ascii="Times New Roman" w:hAnsi="Times New Roman" w:cs="Times New Roman"/>
          <w:sz w:val="26"/>
          <w:szCs w:val="26"/>
        </w:rPr>
        <w:t>муніципального</w:t>
      </w:r>
      <w:r w:rsidRPr="00400FCF">
        <w:rPr>
          <w:rFonts w:ascii="Times New Roman" w:hAnsi="Times New Roman" w:cs="Times New Roman"/>
          <w:sz w:val="26"/>
          <w:szCs w:val="26"/>
        </w:rPr>
        <w:t xml:space="preserve"> енергетичного плану та реалізації </w:t>
      </w:r>
      <w:r w:rsidR="0072054A" w:rsidRPr="00400FCF">
        <w:rPr>
          <w:rFonts w:ascii="Times New Roman" w:hAnsi="Times New Roman" w:cs="Times New Roman"/>
          <w:sz w:val="26"/>
          <w:szCs w:val="26"/>
        </w:rPr>
        <w:t>проектів</w:t>
      </w:r>
      <w:r w:rsidRPr="00400FCF">
        <w:rPr>
          <w:rFonts w:ascii="Times New Roman" w:hAnsi="Times New Roman" w:cs="Times New Roman"/>
          <w:sz w:val="26"/>
          <w:szCs w:val="26"/>
        </w:rPr>
        <w:t xml:space="preserve"> сталого енергетичного розвитку на кінець періоду енергетичного планування відносно пріоритетних секторів.</w:t>
      </w:r>
    </w:p>
    <w:p w:rsidR="00335294" w:rsidRDefault="00335294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CB66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2E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6A75" w:rsidRDefault="007C6A75" w:rsidP="007C6A75">
      <w:pPr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75" w:rsidRPr="00CB66C6" w:rsidRDefault="007C6A75" w:rsidP="007C6A75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CB66C6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7C6A75" w:rsidRPr="00CB66C6" w:rsidRDefault="007C6A75" w:rsidP="007C6A7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CB66C6">
        <w:rPr>
          <w:rFonts w:ascii="Times New Roman" w:hAnsi="Times New Roman" w:cs="Times New Roman"/>
          <w:sz w:val="24"/>
          <w:szCs w:val="24"/>
        </w:rPr>
        <w:t>Рішення</w:t>
      </w:r>
    </w:p>
    <w:p w:rsidR="007C6A75" w:rsidRPr="00CB66C6" w:rsidRDefault="007C6A75" w:rsidP="007C6A7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CB66C6">
        <w:rPr>
          <w:rFonts w:ascii="Times New Roman" w:hAnsi="Times New Roman" w:cs="Times New Roman"/>
          <w:sz w:val="24"/>
          <w:szCs w:val="24"/>
        </w:rPr>
        <w:t xml:space="preserve">Червоноградської міської ради </w:t>
      </w:r>
    </w:p>
    <w:p w:rsidR="007C6A75" w:rsidRPr="00CB66C6" w:rsidRDefault="007C6A75" w:rsidP="007C6A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B6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_________________№____</w:t>
      </w:r>
    </w:p>
    <w:p w:rsidR="007C6A75" w:rsidRPr="00A7756A" w:rsidRDefault="007C6A75" w:rsidP="007C6A7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C6A75" w:rsidRDefault="007C6A75" w:rsidP="007C6A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FCF">
        <w:rPr>
          <w:rFonts w:ascii="Times New Roman" w:hAnsi="Times New Roman" w:cs="Times New Roman"/>
          <w:b/>
          <w:sz w:val="26"/>
          <w:szCs w:val="26"/>
        </w:rPr>
        <w:t xml:space="preserve">ПЕРСОНАЛЬНИЙ СКЛАД </w:t>
      </w:r>
    </w:p>
    <w:p w:rsidR="00CB66C6" w:rsidRDefault="007C6A75" w:rsidP="00CB6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FCF">
        <w:rPr>
          <w:rFonts w:ascii="Times New Roman" w:hAnsi="Times New Roman" w:cs="Times New Roman"/>
          <w:b/>
          <w:sz w:val="26"/>
          <w:szCs w:val="26"/>
        </w:rPr>
        <w:t xml:space="preserve">координаційно-робочої групи з питань </w:t>
      </w:r>
      <w:r>
        <w:rPr>
          <w:rFonts w:ascii="Times New Roman" w:hAnsi="Times New Roman" w:cs="Times New Roman"/>
          <w:b/>
          <w:sz w:val="26"/>
          <w:szCs w:val="26"/>
        </w:rPr>
        <w:t>розроблення муніципального енергетичного плану</w:t>
      </w:r>
      <w:r w:rsidRPr="00400F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Червоноградської міської </w:t>
      </w:r>
      <w:r w:rsidRPr="00400FCF">
        <w:rPr>
          <w:rFonts w:ascii="Times New Roman" w:hAnsi="Times New Roman" w:cs="Times New Roman"/>
          <w:b/>
          <w:sz w:val="26"/>
          <w:szCs w:val="26"/>
        </w:rPr>
        <w:t>територіальної громад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CB66C6" w:rsidRDefault="00CB66C6" w:rsidP="00CB6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(далі по тексту координаційно-робочої групи)</w:t>
      </w:r>
    </w:p>
    <w:p w:rsidR="007C6A75" w:rsidRDefault="007C6A75" w:rsidP="007C6A7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4936"/>
        <w:gridCol w:w="4105"/>
      </w:tblGrid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36" w:type="dxa"/>
          </w:tcPr>
          <w:p w:rsidR="007C6A75" w:rsidRDefault="007C6A75" w:rsidP="00447F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Прізвище, ім’я по батькові</w:t>
            </w:r>
          </w:p>
        </w:tc>
        <w:tc>
          <w:tcPr>
            <w:tcW w:w="4105" w:type="dxa"/>
          </w:tcPr>
          <w:p w:rsidR="007C6A75" w:rsidRDefault="007C6A75" w:rsidP="00447F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Посада 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Балко Дмитро Ігорович</w:t>
            </w:r>
          </w:p>
        </w:tc>
        <w:tc>
          <w:tcPr>
            <w:tcW w:w="4105" w:type="dxa"/>
          </w:tcPr>
          <w:p w:rsidR="007C6A75" w:rsidRPr="006B041E" w:rsidRDefault="007C6A75" w:rsidP="00F03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Перший заступник міського голови</w:t>
            </w:r>
            <w:r w:rsidR="00CB66C6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діяльності виконавчих органів </w:t>
            </w:r>
            <w:r w:rsidR="00F0360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, голова координаційної-робочої групи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Андрій Степанович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управління житлово - комунального господарства, заступник голови координаційної - робочої групи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Чапляк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 Мирославович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Головний спеціаліст управління житлово - комунального господарства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енергоменеджер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секретар координаційної -робочої групи</w:t>
            </w:r>
          </w:p>
        </w:tc>
      </w:tr>
      <w:tr w:rsidR="007C6A75" w:rsidTr="00447FA4">
        <w:tc>
          <w:tcPr>
            <w:tcW w:w="9629" w:type="dxa"/>
            <w:gridSpan w:val="3"/>
          </w:tcPr>
          <w:p w:rsidR="007C6A75" w:rsidRDefault="007C6A75" w:rsidP="00447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Члени координаційної - робочої групи: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Сементух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Леся Іванівна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фінансового управління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Гомонко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Ігор Іванович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відділу освіти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Андрій Михайлович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відділу культури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Мирослав Степанович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охорони здоров’я 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Гнатюк Любов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Василвна</w:t>
            </w:r>
            <w:proofErr w:type="spellEnd"/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відділу економіки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4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Романович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містобудування та архітектури </w:t>
            </w:r>
          </w:p>
        </w:tc>
      </w:tr>
      <w:tr w:rsidR="007C6A75" w:rsidTr="00F03607">
        <w:tc>
          <w:tcPr>
            <w:tcW w:w="588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Дмуховський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  <w:proofErr w:type="spellEnd"/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«Червоноград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теплокомуненерго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C6A75" w:rsidTr="00F03607">
        <w:tc>
          <w:tcPr>
            <w:tcW w:w="588" w:type="dxa"/>
          </w:tcPr>
          <w:p w:rsidR="007C6A75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Кукоба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Юрій Михайлович</w:t>
            </w:r>
          </w:p>
        </w:tc>
        <w:tc>
          <w:tcPr>
            <w:tcW w:w="4105" w:type="dxa"/>
          </w:tcPr>
          <w:p w:rsidR="007C6A75" w:rsidRPr="006B041E" w:rsidRDefault="007C6A75" w:rsidP="00D124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r w:rsidR="00D12498">
              <w:rPr>
                <w:rFonts w:ascii="Times New Roman" w:hAnsi="Times New Roman" w:cs="Times New Roman"/>
                <w:sz w:val="26"/>
                <w:szCs w:val="26"/>
              </w:rPr>
              <w:t>ЧЖКС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C6A75" w:rsidTr="00F03607">
        <w:tc>
          <w:tcPr>
            <w:tcW w:w="588" w:type="dxa"/>
          </w:tcPr>
          <w:p w:rsidR="007C6A75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6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Солдат Володимир Богданович</w:t>
            </w:r>
          </w:p>
        </w:tc>
        <w:tc>
          <w:tcPr>
            <w:tcW w:w="4105" w:type="dxa"/>
          </w:tcPr>
          <w:p w:rsidR="007C6A75" w:rsidRPr="006B041E" w:rsidRDefault="007C6A75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«Червоноград водоканал»</w:t>
            </w:r>
          </w:p>
        </w:tc>
      </w:tr>
      <w:tr w:rsidR="00A16C53" w:rsidTr="00F03607">
        <w:tc>
          <w:tcPr>
            <w:tcW w:w="588" w:type="dxa"/>
          </w:tcPr>
          <w:p w:rsidR="00A16C53" w:rsidRDefault="00A16C53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36" w:type="dxa"/>
          </w:tcPr>
          <w:p w:rsidR="00A16C53" w:rsidRDefault="00A16C53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Недільна Галина Вікторівна</w:t>
            </w:r>
          </w:p>
        </w:tc>
        <w:tc>
          <w:tcPr>
            <w:tcW w:w="4105" w:type="dxa"/>
          </w:tcPr>
          <w:p w:rsidR="00A16C53" w:rsidRDefault="00A16C53" w:rsidP="00CB6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CB66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ідділу земельних відносин</w:t>
            </w:r>
          </w:p>
        </w:tc>
      </w:tr>
      <w:tr w:rsidR="00A16C53" w:rsidTr="00F03607">
        <w:tc>
          <w:tcPr>
            <w:tcW w:w="588" w:type="dxa"/>
          </w:tcPr>
          <w:p w:rsidR="00A16C53" w:rsidRDefault="00A16C53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36" w:type="dxa"/>
          </w:tcPr>
          <w:p w:rsidR="00A16C53" w:rsidRDefault="00A16C53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Павлюк Петро Степанович</w:t>
            </w:r>
          </w:p>
        </w:tc>
        <w:tc>
          <w:tcPr>
            <w:tcW w:w="4105" w:type="dxa"/>
          </w:tcPr>
          <w:p w:rsidR="00A16C53" w:rsidRDefault="00A16C53" w:rsidP="00447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відділу капітального будівництва та інвестицій</w:t>
            </w:r>
          </w:p>
        </w:tc>
      </w:tr>
    </w:tbl>
    <w:p w:rsidR="007C6A75" w:rsidRPr="0020068E" w:rsidRDefault="007C6A75" w:rsidP="00D12498">
      <w:pPr>
        <w:tabs>
          <w:tab w:val="left" w:pos="1272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7C6A75" w:rsidRPr="002006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8F"/>
    <w:rsid w:val="00050BEF"/>
    <w:rsid w:val="000E2142"/>
    <w:rsid w:val="0019188D"/>
    <w:rsid w:val="001C4DA4"/>
    <w:rsid w:val="001E0AFC"/>
    <w:rsid w:val="0020068E"/>
    <w:rsid w:val="00265707"/>
    <w:rsid w:val="002E5FDC"/>
    <w:rsid w:val="002F4970"/>
    <w:rsid w:val="00335294"/>
    <w:rsid w:val="00400FCF"/>
    <w:rsid w:val="004338C6"/>
    <w:rsid w:val="0046077B"/>
    <w:rsid w:val="00517663"/>
    <w:rsid w:val="006B041E"/>
    <w:rsid w:val="0072054A"/>
    <w:rsid w:val="007C6A75"/>
    <w:rsid w:val="007E2C77"/>
    <w:rsid w:val="009E188F"/>
    <w:rsid w:val="009F45C7"/>
    <w:rsid w:val="00A16C53"/>
    <w:rsid w:val="00A553D5"/>
    <w:rsid w:val="00A7756A"/>
    <w:rsid w:val="00AB2F58"/>
    <w:rsid w:val="00CB4B93"/>
    <w:rsid w:val="00CB66C6"/>
    <w:rsid w:val="00D12498"/>
    <w:rsid w:val="00EE042A"/>
    <w:rsid w:val="00EE3141"/>
    <w:rsid w:val="00F03607"/>
    <w:rsid w:val="00F6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D6E1B-333E-4A59-9655-9823E759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02B8-295E-42B0-AD22-264C4FD2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6804</Words>
  <Characters>3879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2024-04-02T11:15:00Z</cp:lastPrinted>
  <dcterms:created xsi:type="dcterms:W3CDTF">2023-12-12T09:33:00Z</dcterms:created>
  <dcterms:modified xsi:type="dcterms:W3CDTF">2024-04-02T11:15:00Z</dcterms:modified>
</cp:coreProperties>
</file>