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8710C6" w:rsidRPr="00F74E41" w:rsidTr="00C25C2B">
        <w:trPr>
          <w:trHeight w:val="1026"/>
        </w:trPr>
        <w:tc>
          <w:tcPr>
            <w:tcW w:w="9747" w:type="dxa"/>
            <w:gridSpan w:val="3"/>
          </w:tcPr>
          <w:p w:rsidR="008710C6" w:rsidRPr="00370D41" w:rsidRDefault="00C663FC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8710C6" w:rsidRDefault="008710C6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10C6" w:rsidRDefault="008710C6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8710C6" w:rsidRDefault="008710C6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710C6" w:rsidRDefault="008710C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710C6" w:rsidRPr="00F74E41" w:rsidRDefault="008710C6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710C6" w:rsidRPr="00F74E41" w:rsidTr="00C25C2B">
        <w:tc>
          <w:tcPr>
            <w:tcW w:w="3154" w:type="dxa"/>
          </w:tcPr>
          <w:p w:rsidR="008710C6" w:rsidRPr="00F74E41" w:rsidRDefault="008710C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710C6" w:rsidRPr="00F74E41" w:rsidRDefault="008710C6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8710C6" w:rsidRPr="00F74E41" w:rsidRDefault="008710C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710C6" w:rsidRPr="00F74E41" w:rsidTr="00C25C2B">
        <w:tc>
          <w:tcPr>
            <w:tcW w:w="3154" w:type="dxa"/>
          </w:tcPr>
          <w:p w:rsidR="008710C6" w:rsidRPr="007B1A7B" w:rsidRDefault="008710C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8710C6" w:rsidRPr="00F74E41" w:rsidRDefault="008710C6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8710C6" w:rsidRPr="000E07C1" w:rsidRDefault="008710C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8710C6" w:rsidRPr="00F74E41" w:rsidTr="00C25C2B">
        <w:tc>
          <w:tcPr>
            <w:tcW w:w="3154" w:type="dxa"/>
          </w:tcPr>
          <w:p w:rsidR="008710C6" w:rsidRPr="00F74E41" w:rsidRDefault="008710C6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710C6" w:rsidRPr="00F74E41" w:rsidRDefault="008710C6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8710C6" w:rsidRPr="00F74E41" w:rsidRDefault="008710C6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10C6" w:rsidRPr="00FF4B3C" w:rsidRDefault="008710C6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8710C6" w:rsidRDefault="008710C6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77A16" w:rsidRDefault="008710C6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Пилипчук </w:t>
      </w:r>
    </w:p>
    <w:p w:rsidR="008710C6" w:rsidRPr="00777A16" w:rsidRDefault="008710C6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Ганни Василівни</w:t>
      </w:r>
      <w:r>
        <w:rPr>
          <w:b/>
          <w:sz w:val="26"/>
          <w:szCs w:val="26"/>
        </w:rPr>
        <w:tab/>
      </w:r>
    </w:p>
    <w:p w:rsidR="008710C6" w:rsidRDefault="008710C6" w:rsidP="00777A16">
      <w:pPr>
        <w:pStyle w:val="a3"/>
        <w:ind w:left="0" w:right="0"/>
        <w:rPr>
          <w:sz w:val="26"/>
          <w:szCs w:val="26"/>
        </w:rPr>
      </w:pPr>
    </w:p>
    <w:p w:rsidR="008710C6" w:rsidRDefault="008710C6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 w:rsidR="001D6C0A">
        <w:rPr>
          <w:color w:val="000000"/>
          <w:sz w:val="26"/>
          <w:szCs w:val="26"/>
        </w:rPr>
        <w:t>г</w:t>
      </w:r>
      <w:r w:rsidRPr="0017656D">
        <w:rPr>
          <w:color w:val="000000"/>
          <w:sz w:val="26"/>
          <w:szCs w:val="26"/>
        </w:rPr>
        <w:t xml:space="preserve">ромадянки Пилипчук Ганни Василівни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 xml:space="preserve">лянки орієнтовною площею </w:t>
      </w:r>
      <w:smartTag w:uri="urn:schemas-microsoft-com:office:smarttags" w:element="metricconverter">
        <w:smartTagPr>
          <w:attr w:name="ProductID" w:val="0,0150 га"/>
        </w:smartTagPr>
        <w:r w:rsidRPr="0017656D">
          <w:rPr>
            <w:sz w:val="26"/>
            <w:szCs w:val="26"/>
          </w:rPr>
          <w:t>0,0150 га</w:t>
        </w:r>
      </w:smartTag>
      <w:r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- 01.07 - для городництва)</w:t>
      </w:r>
      <w:r w:rsidRPr="0017656D">
        <w:rPr>
          <w:sz w:val="26"/>
          <w:szCs w:val="26"/>
        </w:rPr>
        <w:t>в селі Добрячин та надання її в оренду,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 w:rsidR="00C663FC"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 рішення Острівської сільської ради від 11.06.2008 року, №</w:t>
      </w:r>
      <w:r w:rsidR="00F90750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 xml:space="preserve">53 </w:t>
      </w:r>
      <w:r>
        <w:rPr>
          <w:sz w:val="26"/>
          <w:szCs w:val="26"/>
        </w:rPr>
        <w:t>«П</w:t>
      </w:r>
      <w:r w:rsidRPr="0017656D">
        <w:rPr>
          <w:sz w:val="26"/>
          <w:szCs w:val="26"/>
        </w:rPr>
        <w:t>ро продовжен</w:t>
      </w:r>
      <w:r w:rsidR="001D6C0A">
        <w:rPr>
          <w:sz w:val="26"/>
          <w:szCs w:val="26"/>
        </w:rPr>
        <w:t>н</w:t>
      </w:r>
      <w:r w:rsidRPr="0017656D">
        <w:rPr>
          <w:sz w:val="26"/>
          <w:szCs w:val="26"/>
        </w:rPr>
        <w:t>я терміну дії договорів оренди на земельні ділянки в с.</w:t>
      </w:r>
      <w:r w:rsidR="001D6C0A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Добрячин Пернак Г</w:t>
      </w:r>
      <w:r w:rsidR="003668DB">
        <w:rPr>
          <w:sz w:val="26"/>
          <w:szCs w:val="26"/>
        </w:rPr>
        <w:t xml:space="preserve">. </w:t>
      </w:r>
      <w:r w:rsidRPr="0017656D">
        <w:rPr>
          <w:sz w:val="26"/>
          <w:szCs w:val="26"/>
        </w:rPr>
        <w:t>А., Пилипчук Г.</w:t>
      </w:r>
      <w:r w:rsidR="003668DB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В., Луцик Я. П.</w:t>
      </w:r>
      <w:r>
        <w:rPr>
          <w:sz w:val="26"/>
          <w:szCs w:val="26"/>
        </w:rPr>
        <w:t>»</w:t>
      </w:r>
      <w:r w:rsidRPr="0017656D">
        <w:rPr>
          <w:sz w:val="26"/>
          <w:szCs w:val="26"/>
        </w:rPr>
        <w:t xml:space="preserve">, договору оренди землі від 20.06.2008, схеми розташування земельної ділянки, Державного </w:t>
      </w:r>
      <w:r w:rsidR="001D6C0A">
        <w:rPr>
          <w:sz w:val="26"/>
          <w:szCs w:val="26"/>
        </w:rPr>
        <w:t>а</w:t>
      </w:r>
      <w:r w:rsidRPr="0017656D">
        <w:rPr>
          <w:sz w:val="26"/>
          <w:szCs w:val="26"/>
        </w:rPr>
        <w:t xml:space="preserve">кту на право власності на </w:t>
      </w:r>
      <w:r w:rsidR="000A4589" w:rsidRPr="0017656D">
        <w:rPr>
          <w:sz w:val="26"/>
          <w:szCs w:val="26"/>
        </w:rPr>
        <w:t>власну</w:t>
      </w:r>
      <w:r w:rsidR="000A4589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суміжну земельну ділянку</w:t>
      </w:r>
      <w:r w:rsidR="00A73B6F"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а також генерального плану населеного пункту села Добр</w:t>
      </w:r>
      <w:r w:rsidR="00F90750">
        <w:rPr>
          <w:sz w:val="26"/>
          <w:szCs w:val="26"/>
          <w:shd w:val="clear" w:color="auto" w:fill="FFFFFF"/>
        </w:rPr>
        <w:t>я</w:t>
      </w:r>
      <w:r w:rsidRPr="001D2E79">
        <w:rPr>
          <w:sz w:val="26"/>
          <w:szCs w:val="26"/>
          <w:shd w:val="clear" w:color="auto" w:fill="FFFFFF"/>
        </w:rPr>
        <w:t>чин</w:t>
      </w:r>
      <w:r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що</w:t>
      </w:r>
      <w:r w:rsidR="00C663FC"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 w:rsidR="00FC30BB">
        <w:rPr>
          <w:sz w:val="26"/>
          <w:szCs w:val="26"/>
          <w:shd w:val="clear" w:color="auto" w:fill="FFFFFF"/>
        </w:rPr>
        <w:t>,</w:t>
      </w:r>
      <w:r w:rsidRPr="0017656D">
        <w:rPr>
          <w:sz w:val="26"/>
          <w:szCs w:val="26"/>
          <w:shd w:val="clear" w:color="auto" w:fill="FFFFFF"/>
        </w:rPr>
        <w:t xml:space="preserve"> </w:t>
      </w:r>
      <w:r w:rsidRPr="001D2E79">
        <w:rPr>
          <w:sz w:val="26"/>
          <w:szCs w:val="26"/>
          <w:shd w:val="clear" w:color="auto" w:fill="FFFFFF"/>
        </w:rPr>
        <w:t>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8710C6" w:rsidRDefault="008710C6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8710C6" w:rsidRPr="0017656D" w:rsidRDefault="008710C6" w:rsidP="00800978">
      <w:pPr>
        <w:rPr>
          <w:sz w:val="26"/>
          <w:szCs w:val="26"/>
          <w:lang w:val="uk-UA"/>
        </w:rPr>
      </w:pPr>
    </w:p>
    <w:p w:rsidR="008710C6" w:rsidRDefault="008710C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8710C6" w:rsidRPr="00B10A9C" w:rsidRDefault="008710C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710C6" w:rsidRPr="004C1A7D" w:rsidRDefault="008710C6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Пилипчук Ганні Василівні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орієнтовною </w:t>
      </w:r>
      <w:r w:rsidRPr="00707EC1">
        <w:rPr>
          <w:sz w:val="26"/>
          <w:szCs w:val="26"/>
        </w:rPr>
        <w:lastRenderedPageBreak/>
        <w:t xml:space="preserve">площею </w:t>
      </w:r>
      <w:smartTag w:uri="urn:schemas-microsoft-com:office:smarttags" w:element="metricconverter">
        <w:smartTagPr>
          <w:attr w:name="ProductID" w:val="0,0150 га"/>
        </w:smartTagPr>
        <w:r>
          <w:rPr>
            <w:sz w:val="26"/>
            <w:szCs w:val="26"/>
          </w:rPr>
          <w:t>0,0150</w:t>
        </w:r>
        <w:r w:rsidRPr="00707EC1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 для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городництва</w:t>
      </w:r>
      <w:r w:rsidRPr="00707EC1">
        <w:rPr>
          <w:sz w:val="26"/>
          <w:szCs w:val="26"/>
        </w:rPr>
        <w:t xml:space="preserve"> </w:t>
      </w:r>
      <w:r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>
        <w:rPr>
          <w:sz w:val="25"/>
          <w:szCs w:val="25"/>
          <w:shd w:val="clear" w:color="auto" w:fill="FFFFFF"/>
        </w:rPr>
        <w:t xml:space="preserve"> </w:t>
      </w:r>
      <w:r>
        <w:rPr>
          <w:sz w:val="26"/>
          <w:szCs w:val="26"/>
        </w:rPr>
        <w:t>в селі Добрячин</w:t>
      </w:r>
      <w:r w:rsidR="00F93C1A">
        <w:rPr>
          <w:sz w:val="26"/>
          <w:szCs w:val="26"/>
        </w:rPr>
        <w:t>,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біля земельної ділянки з кадастровим номером 4624884200:20:008:0038.</w:t>
      </w:r>
    </w:p>
    <w:p w:rsidR="008710C6" w:rsidRPr="00B10A9C" w:rsidRDefault="008710C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8710C6" w:rsidRPr="00B10A9C" w:rsidRDefault="008710C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C663FC">
        <w:rPr>
          <w:sz w:val="26"/>
          <w:szCs w:val="26"/>
          <w:lang w:val="uk-UA"/>
        </w:rPr>
        <w:t>адміністративного</w:t>
      </w:r>
      <w:bookmarkStart w:id="0" w:name="_GoBack"/>
      <w:bookmarkEnd w:id="0"/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8710C6" w:rsidSect="00B6573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C6" w:rsidRDefault="008710C6" w:rsidP="000243F2">
      <w:r>
        <w:separator/>
      </w:r>
    </w:p>
  </w:endnote>
  <w:endnote w:type="continuationSeparator" w:id="0">
    <w:p w:rsidR="008710C6" w:rsidRDefault="008710C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C6" w:rsidRDefault="008710C6" w:rsidP="000243F2">
      <w:r>
        <w:separator/>
      </w:r>
    </w:p>
  </w:footnote>
  <w:footnote w:type="continuationSeparator" w:id="0">
    <w:p w:rsidR="008710C6" w:rsidRDefault="008710C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4589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C0A"/>
    <w:rsid w:val="001D6D38"/>
    <w:rsid w:val="001E0196"/>
    <w:rsid w:val="001E0B89"/>
    <w:rsid w:val="001E135C"/>
    <w:rsid w:val="001E14ED"/>
    <w:rsid w:val="001E1865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09A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3A5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8DB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1C96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949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A16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0C6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3B6F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3FC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50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C1A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0BB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3322B07-E478-4EF3-99B6-3F59548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423</cp:revision>
  <cp:lastPrinted>2024-04-16T06:28:00Z</cp:lastPrinted>
  <dcterms:created xsi:type="dcterms:W3CDTF">2021-07-21T12:01:00Z</dcterms:created>
  <dcterms:modified xsi:type="dcterms:W3CDTF">2024-04-19T05:51:00Z</dcterms:modified>
</cp:coreProperties>
</file>